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60" w:rsidRDefault="00B97160" w:rsidP="00B97160">
      <w:pPr>
        <w:tabs>
          <w:tab w:val="left" w:pos="5245"/>
        </w:tabs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2367578" cy="504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78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06ED">
        <w:tab/>
      </w:r>
      <w:r w:rsidR="00B506ED">
        <w:tab/>
      </w:r>
      <w:r w:rsidR="00B506ED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4318635" y="544195"/>
            <wp:positionH relativeFrom="margin">
              <wp:align>right</wp:align>
            </wp:positionH>
            <wp:positionV relativeFrom="margin">
              <wp:align>top</wp:align>
            </wp:positionV>
            <wp:extent cx="2390140" cy="1024255"/>
            <wp:effectExtent l="0" t="0" r="0" b="444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6ED">
        <w:t xml:space="preserve">   </w:t>
      </w:r>
    </w:p>
    <w:p w:rsidR="00B506ED" w:rsidRDefault="00B506ED" w:rsidP="00B97160">
      <w:pPr>
        <w:tabs>
          <w:tab w:val="left" w:pos="5245"/>
        </w:tabs>
      </w:pPr>
    </w:p>
    <w:p w:rsidR="00B506ED" w:rsidRDefault="00B506ED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32"/>
          <w:szCs w:val="32"/>
        </w:rPr>
      </w:pPr>
    </w:p>
    <w:p w:rsidR="00B506ED" w:rsidRDefault="00B506ED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32"/>
          <w:szCs w:val="32"/>
        </w:rPr>
      </w:pP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32"/>
          <w:szCs w:val="32"/>
        </w:rPr>
      </w:pPr>
      <w:r w:rsidRPr="00B97160">
        <w:rPr>
          <w:rFonts w:ascii="DejaVuSans-Bold" w:hAnsi="DejaVuSans-Bold" w:cs="DejaVuSans-Bold"/>
          <w:b/>
          <w:bCs/>
          <w:color w:val="000000"/>
          <w:sz w:val="32"/>
          <w:szCs w:val="32"/>
        </w:rPr>
        <w:t>Pályázati felhívás</w:t>
      </w: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29"/>
          <w:szCs w:val="29"/>
        </w:rPr>
      </w:pPr>
      <w:proofErr w:type="spellStart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>Reinhold</w:t>
      </w:r>
      <w:proofErr w:type="spellEnd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 xml:space="preserve"> &amp; Carmen </w:t>
      </w:r>
      <w:proofErr w:type="spellStart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>Würth</w:t>
      </w:r>
      <w:proofErr w:type="spellEnd"/>
      <w:r>
        <w:rPr>
          <w:rFonts w:ascii="DejaVuSans-Bold" w:hAnsi="DejaVuSans-Bold" w:cs="DejaVuSans-Bold"/>
          <w:b/>
          <w:bCs/>
          <w:color w:val="D50000"/>
          <w:sz w:val="29"/>
          <w:szCs w:val="29"/>
        </w:rPr>
        <w:t xml:space="preserve"> Alapítvány</w:t>
      </w: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38"/>
          <w:szCs w:val="38"/>
        </w:rPr>
      </w:pPr>
      <w:r>
        <w:rPr>
          <w:rFonts w:ascii="DejaVuSans-Bold" w:hAnsi="DejaVuSans-Bold" w:cs="DejaVuSans-Bold"/>
          <w:b/>
          <w:bCs/>
          <w:color w:val="D50000"/>
          <w:sz w:val="38"/>
          <w:szCs w:val="38"/>
        </w:rPr>
        <w:t>Ösztöndíj hátrányos helyzetű hallgató számára</w:t>
      </w: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D50000"/>
          <w:sz w:val="38"/>
          <w:szCs w:val="38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 xml:space="preserve">A </w:t>
      </w:r>
      <w:proofErr w:type="spellStart"/>
      <w:r>
        <w:rPr>
          <w:rFonts w:ascii="DejaVuSans" w:hAnsi="DejaVuSans" w:cs="DejaVuSans"/>
          <w:color w:val="000000"/>
          <w:sz w:val="26"/>
          <w:szCs w:val="26"/>
        </w:rPr>
        <w:t>Reinhold</w:t>
      </w:r>
      <w:proofErr w:type="spellEnd"/>
      <w:r>
        <w:rPr>
          <w:rFonts w:ascii="DejaVuSans" w:hAnsi="DejaVuSans" w:cs="DejaVuSans"/>
          <w:color w:val="000000"/>
          <w:sz w:val="26"/>
          <w:szCs w:val="26"/>
        </w:rPr>
        <w:t xml:space="preserve"> &amp; Carmen </w:t>
      </w:r>
      <w:proofErr w:type="spellStart"/>
      <w:r>
        <w:rPr>
          <w:rFonts w:ascii="DejaVuSans" w:hAnsi="DejaVuSans" w:cs="DejaVuSans"/>
          <w:color w:val="000000"/>
          <w:sz w:val="26"/>
          <w:szCs w:val="26"/>
        </w:rPr>
        <w:t>Würth</w:t>
      </w:r>
      <w:proofErr w:type="spellEnd"/>
      <w:r>
        <w:rPr>
          <w:rFonts w:ascii="DejaVuSans" w:hAnsi="DejaVuSans" w:cs="DejaVuSans"/>
          <w:color w:val="000000"/>
          <w:sz w:val="26"/>
          <w:szCs w:val="26"/>
        </w:rPr>
        <w:t xml:space="preserve"> Alapítvány minden tanévben egy, családjának anyagi helyzete miatt rászoruló hallgatót támogat Karunkon.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D50000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Az ösztöndíj 1 tanévre (10 hónap) szól, összege havi 30 000 Ft.</w:t>
      </w:r>
    </w:p>
    <w:p w:rsidR="00B97160" w:rsidRPr="00B97160" w:rsidRDefault="00B97160" w:rsidP="00B9716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D5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Pályázati feltételek: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legalább két eredményesen lezárt aktív félév,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hallgatói jogviszony a pályázat benyújtásának félévére,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a</w:t>
      </w:r>
      <w:r w:rsidR="00B506ED">
        <w:rPr>
          <w:rFonts w:ascii="DejaVuSans" w:hAnsi="DejaVuSans" w:cs="DejaVuSans"/>
          <w:color w:val="000000"/>
          <w:sz w:val="26"/>
          <w:szCs w:val="26"/>
        </w:rPr>
        <w:t>z</w:t>
      </w:r>
      <w:r>
        <w:rPr>
          <w:rFonts w:ascii="DejaVuSans" w:hAnsi="DejaVuSans" w:cs="DejaVuSans"/>
          <w:color w:val="000000"/>
          <w:sz w:val="26"/>
          <w:szCs w:val="26"/>
        </w:rPr>
        <w:t xml:space="preserve"> utolsó félév tanulmányi átlaga legalább 3,5 legyen.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Az elbírálás szempontjai (fontossági sorrendben):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rossz a szülők vagyoni helyzete,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árva vagy félárva helyzet,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kiemelkedő tanulmányi átlag,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tudományos, szakmai tevékenység,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nyelvvizsgával igazolt idegennyelv-tudás.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A pályázat részei: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 xml:space="preserve">- személyi adatok, </w:t>
      </w:r>
      <w:proofErr w:type="spellStart"/>
      <w:r>
        <w:rPr>
          <w:rFonts w:ascii="DejaVuSans" w:hAnsi="DejaVuSans" w:cs="DejaVuSans"/>
          <w:color w:val="000000"/>
          <w:sz w:val="26"/>
          <w:szCs w:val="26"/>
        </w:rPr>
        <w:t>Neptun</w:t>
      </w:r>
      <w:proofErr w:type="spellEnd"/>
      <w:r>
        <w:rPr>
          <w:rFonts w:ascii="DejaVuSans" w:hAnsi="DejaVuSans" w:cs="DejaVuSans"/>
          <w:color w:val="000000"/>
          <w:sz w:val="26"/>
          <w:szCs w:val="26"/>
        </w:rPr>
        <w:t>-kód, telefon, e-mail elérhetőség,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rövid szakmai önéletrajz,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a szociális helyzet tényszerű ismertetése,</w:t>
      </w: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- a pályázat elbírálásához szükséges igazolások (szülők jövedelméről, tartós munkanélküliségéről, árvaságról, nyelvvizsgáról).</w:t>
      </w:r>
    </w:p>
    <w:p w:rsidR="00B97160" w:rsidRPr="00B97160" w:rsidRDefault="00B97160" w:rsidP="00B97160">
      <w:pPr>
        <w:autoSpaceDE w:val="0"/>
        <w:autoSpaceDN w:val="0"/>
        <w:adjustRightInd w:val="0"/>
        <w:spacing w:after="0"/>
        <w:rPr>
          <w:rFonts w:ascii="DejaVuSans" w:hAnsi="DejaVuSans" w:cs="DejaVuSans"/>
          <w:color w:val="000000"/>
          <w:sz w:val="20"/>
          <w:szCs w:val="20"/>
        </w:rPr>
      </w:pPr>
    </w:p>
    <w:p w:rsidR="00B97160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81"/>
          <w:sz w:val="26"/>
          <w:szCs w:val="26"/>
        </w:rPr>
        <w:t>A pályázat leadása:</w:t>
      </w:r>
    </w:p>
    <w:p w:rsidR="00057C4F" w:rsidRPr="00057C4F" w:rsidRDefault="00057C4F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000081"/>
          <w:sz w:val="10"/>
          <w:szCs w:val="10"/>
        </w:rPr>
      </w:pPr>
    </w:p>
    <w:p w:rsidR="00B97160" w:rsidRDefault="00D43266" w:rsidP="00057C4F">
      <w:pPr>
        <w:autoSpaceDE w:val="0"/>
        <w:autoSpaceDN w:val="0"/>
        <w:adjustRightInd w:val="0"/>
        <w:spacing w:after="0"/>
        <w:jc w:val="center"/>
        <w:rPr>
          <w:rFonts w:ascii="DejaVuSans-Bold" w:hAnsi="DejaVuSans-Bold" w:cs="DejaVuSans-Bold"/>
          <w:b/>
          <w:bCs/>
          <w:color w:val="D50000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2018</w:t>
      </w:r>
      <w:r w:rsidR="00B97160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. </w:t>
      </w: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október</w:t>
      </w:r>
      <w:r w:rsidR="00540903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 1</w:t>
      </w: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2</w:t>
      </w:r>
      <w:r w:rsidR="00B506ED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. </w:t>
      </w:r>
      <w:r w:rsidR="00540903">
        <w:rPr>
          <w:rFonts w:ascii="DejaVuSans-Bold" w:hAnsi="DejaVuSans-Bold" w:cs="DejaVuSans-Bold"/>
          <w:b/>
          <w:bCs/>
          <w:color w:val="D50000"/>
          <w:sz w:val="26"/>
          <w:szCs w:val="26"/>
        </w:rPr>
        <w:t>10</w:t>
      </w:r>
      <w:r w:rsidR="00B506ED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:00-ig a </w:t>
      </w:r>
      <w:r>
        <w:rPr>
          <w:rFonts w:ascii="DejaVuSans-Bold" w:hAnsi="DejaVuSans-Bold" w:cs="DejaVuSans-Bold"/>
          <w:b/>
          <w:bCs/>
          <w:color w:val="D50000"/>
          <w:sz w:val="26"/>
          <w:szCs w:val="26"/>
        </w:rPr>
        <w:t>GIVK</w:t>
      </w:r>
      <w:r w:rsidR="00B506ED">
        <w:rPr>
          <w:rFonts w:ascii="DejaVuSans-Bold" w:hAnsi="DejaVuSans-Bold" w:cs="DejaVuSans-Bold"/>
          <w:b/>
          <w:bCs/>
          <w:color w:val="D50000"/>
          <w:sz w:val="26"/>
          <w:szCs w:val="26"/>
        </w:rPr>
        <w:t xml:space="preserve"> </w:t>
      </w:r>
      <w:r w:rsidR="00B97160">
        <w:rPr>
          <w:rFonts w:ascii="DejaVuSans-Bold" w:hAnsi="DejaVuSans-Bold" w:cs="DejaVuSans-Bold"/>
          <w:b/>
          <w:bCs/>
          <w:color w:val="D50000"/>
          <w:sz w:val="26"/>
          <w:szCs w:val="26"/>
        </w:rPr>
        <w:t>Titkárságon (B-302)</w:t>
      </w:r>
    </w:p>
    <w:p w:rsidR="00B97160" w:rsidRPr="00B506ED" w:rsidRDefault="00B97160" w:rsidP="00B97160">
      <w:pPr>
        <w:autoSpaceDE w:val="0"/>
        <w:autoSpaceDN w:val="0"/>
        <w:adjustRightInd w:val="0"/>
        <w:spacing w:after="0"/>
        <w:rPr>
          <w:rFonts w:ascii="DejaVuSans-Bold" w:hAnsi="DejaVuSans-Bold" w:cs="DejaVuSans-Bold"/>
          <w:b/>
          <w:bCs/>
          <w:color w:val="D50000"/>
          <w:sz w:val="20"/>
          <w:szCs w:val="20"/>
        </w:rPr>
      </w:pPr>
    </w:p>
    <w:p w:rsidR="0007118A" w:rsidRDefault="00B97160" w:rsidP="00B506ED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color w:val="000000"/>
          <w:sz w:val="26"/>
          <w:szCs w:val="26"/>
        </w:rPr>
        <w:t>A pályázat bírálatát a Dékáni Kabi</w:t>
      </w:r>
      <w:r w:rsidR="00B506ED">
        <w:rPr>
          <w:rFonts w:ascii="DejaVuSans" w:hAnsi="DejaVuSans" w:cs="DejaVuSans"/>
          <w:color w:val="000000"/>
          <w:sz w:val="26"/>
          <w:szCs w:val="26"/>
        </w:rPr>
        <w:t xml:space="preserve">net és a Hallgatói Önkormányzat </w:t>
      </w:r>
      <w:r>
        <w:rPr>
          <w:rFonts w:ascii="DejaVuSans" w:hAnsi="DejaVuSans" w:cs="DejaVuSans"/>
          <w:color w:val="000000"/>
          <w:sz w:val="26"/>
          <w:szCs w:val="26"/>
        </w:rPr>
        <w:t>képviselő</w:t>
      </w:r>
      <w:r w:rsidR="00B506ED">
        <w:rPr>
          <w:rFonts w:ascii="DejaVuSans" w:hAnsi="DejaVuSans" w:cs="DejaVuSans"/>
          <w:color w:val="000000"/>
          <w:sz w:val="26"/>
          <w:szCs w:val="26"/>
        </w:rPr>
        <w:t xml:space="preserve">je </w:t>
      </w:r>
      <w:r>
        <w:rPr>
          <w:rFonts w:ascii="DejaVuSans" w:hAnsi="DejaVuSans" w:cs="DejaVuSans"/>
          <w:color w:val="000000"/>
          <w:sz w:val="26"/>
          <w:szCs w:val="26"/>
        </w:rPr>
        <w:t>végzi. Az eredményről a leadást követő</w:t>
      </w:r>
      <w:r w:rsidR="00B506ED">
        <w:rPr>
          <w:rFonts w:ascii="DejaVuSans" w:hAnsi="DejaVuSans" w:cs="DejaVuSans"/>
          <w:color w:val="000000"/>
          <w:sz w:val="26"/>
          <w:szCs w:val="26"/>
        </w:rPr>
        <w:t xml:space="preserve"> két héten belül </w:t>
      </w:r>
      <w:r>
        <w:rPr>
          <w:rFonts w:ascii="DejaVuSans" w:hAnsi="DejaVuSans" w:cs="DejaVuSans"/>
          <w:color w:val="000000"/>
          <w:sz w:val="26"/>
          <w:szCs w:val="26"/>
        </w:rPr>
        <w:t xml:space="preserve">értesítjük </w:t>
      </w:r>
      <w:r w:rsidR="00B506ED">
        <w:rPr>
          <w:rFonts w:ascii="DejaVuSans" w:hAnsi="DejaVuSans" w:cs="DejaVuSans"/>
          <w:sz w:val="26"/>
          <w:szCs w:val="26"/>
        </w:rPr>
        <w:t>a pályázókat.</w:t>
      </w:r>
    </w:p>
    <w:p w:rsidR="00B506ED" w:rsidRDefault="00B506ED" w:rsidP="00B506ED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sz w:val="26"/>
          <w:szCs w:val="26"/>
        </w:rPr>
      </w:pPr>
    </w:p>
    <w:p w:rsidR="00B506ED" w:rsidRPr="00057C4F" w:rsidRDefault="00B506ED" w:rsidP="00B506ED">
      <w:pPr>
        <w:autoSpaceDE w:val="0"/>
        <w:autoSpaceDN w:val="0"/>
        <w:adjustRightInd w:val="0"/>
        <w:spacing w:after="0"/>
        <w:rPr>
          <w:rFonts w:ascii="DejaVuSans" w:hAnsi="DejaVuSans" w:cs="DejaVuSans"/>
          <w:sz w:val="20"/>
          <w:szCs w:val="20"/>
        </w:rPr>
      </w:pPr>
    </w:p>
    <w:p w:rsidR="00B506ED" w:rsidRDefault="00D43266" w:rsidP="00B506ED">
      <w:pPr>
        <w:autoSpaceDE w:val="0"/>
        <w:autoSpaceDN w:val="0"/>
        <w:adjustRightInd w:val="0"/>
        <w:spacing w:after="0"/>
        <w:jc w:val="both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Győr, 2018</w:t>
      </w:r>
      <w:r w:rsidR="00B506ED">
        <w:rPr>
          <w:rFonts w:ascii="DejaVuSans" w:hAnsi="DejaVuSans" w:cs="DejaVuSans"/>
          <w:sz w:val="26"/>
          <w:szCs w:val="26"/>
        </w:rPr>
        <w:t xml:space="preserve">. </w:t>
      </w:r>
      <w:r>
        <w:rPr>
          <w:rFonts w:ascii="DejaVuSans" w:hAnsi="DejaVuSans" w:cs="DejaVuSans"/>
          <w:sz w:val="26"/>
          <w:szCs w:val="26"/>
        </w:rPr>
        <w:t>szept</w:t>
      </w:r>
      <w:r w:rsidR="00540903">
        <w:rPr>
          <w:rFonts w:ascii="DejaVuSans" w:hAnsi="DejaVuSans" w:cs="DejaVuSans"/>
          <w:sz w:val="26"/>
          <w:szCs w:val="26"/>
        </w:rPr>
        <w:t>ember</w:t>
      </w:r>
      <w:r>
        <w:rPr>
          <w:rFonts w:ascii="DejaVuSans" w:hAnsi="DejaVuSans" w:cs="DejaVuSans"/>
          <w:sz w:val="26"/>
          <w:szCs w:val="26"/>
        </w:rPr>
        <w:t xml:space="preserve"> 17</w:t>
      </w:r>
      <w:r w:rsidR="00B506ED">
        <w:rPr>
          <w:rFonts w:ascii="DejaVuSans" w:hAnsi="DejaVuSans" w:cs="DejaVuSans"/>
          <w:sz w:val="26"/>
          <w:szCs w:val="26"/>
        </w:rPr>
        <w:t xml:space="preserve">. </w:t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</w:r>
      <w:r w:rsidR="00B506ED">
        <w:rPr>
          <w:rFonts w:ascii="DejaVuSans" w:hAnsi="DejaVuSans" w:cs="DejaVuSans"/>
          <w:sz w:val="26"/>
          <w:szCs w:val="26"/>
        </w:rPr>
        <w:tab/>
        <w:t>Prof. Dr. Kuczmann Miklós</w:t>
      </w:r>
    </w:p>
    <w:p w:rsidR="00B506ED" w:rsidRPr="00B506ED" w:rsidRDefault="00B506ED" w:rsidP="00B506ED">
      <w:pPr>
        <w:autoSpaceDE w:val="0"/>
        <w:autoSpaceDN w:val="0"/>
        <w:adjustRightInd w:val="0"/>
        <w:spacing w:after="0"/>
        <w:ind w:left="7080" w:firstLine="708"/>
        <w:jc w:val="both"/>
        <w:rPr>
          <w:rFonts w:ascii="DejaVuSans" w:hAnsi="DejaVuSans" w:cs="DejaVuSans"/>
          <w:color w:val="000000"/>
          <w:sz w:val="26"/>
          <w:szCs w:val="26"/>
        </w:rPr>
      </w:pPr>
      <w:proofErr w:type="gramStart"/>
      <w:r>
        <w:rPr>
          <w:rFonts w:ascii="DejaVuSans" w:hAnsi="DejaVuSans" w:cs="DejaVuSans"/>
          <w:sz w:val="26"/>
          <w:szCs w:val="26"/>
        </w:rPr>
        <w:t>dékán</w:t>
      </w:r>
      <w:proofErr w:type="gramEnd"/>
    </w:p>
    <w:sectPr w:rsidR="00B506ED" w:rsidRPr="00B506ED" w:rsidSect="00B506E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ejaVu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60"/>
    <w:rsid w:val="00057C4F"/>
    <w:rsid w:val="0007118A"/>
    <w:rsid w:val="00540903"/>
    <w:rsid w:val="006A69A9"/>
    <w:rsid w:val="0079322C"/>
    <w:rsid w:val="00B506ED"/>
    <w:rsid w:val="00B97160"/>
    <w:rsid w:val="00D43266"/>
    <w:rsid w:val="00E1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C017-990A-4CD0-90B2-0F4F316A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SZE-MTK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Pék Anita</dc:creator>
  <cp:lastModifiedBy>Rendesné Kalmár Andrea</cp:lastModifiedBy>
  <cp:revision>2</cp:revision>
  <cp:lastPrinted>2018-09-20T07:24:00Z</cp:lastPrinted>
  <dcterms:created xsi:type="dcterms:W3CDTF">2018-09-20T07:24:00Z</dcterms:created>
  <dcterms:modified xsi:type="dcterms:W3CDTF">2018-09-20T07:24:00Z</dcterms:modified>
</cp:coreProperties>
</file>